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5" w:rsidRPr="00C85FAB" w:rsidRDefault="00B04505" w:rsidP="00B04505">
      <w:pPr>
        <w:spacing w:line="400" w:lineRule="exact"/>
        <w:jc w:val="center"/>
        <w:rPr>
          <w:rFonts w:ascii="新細明體" w:eastAsia="新細明體" w:hAnsi="新細明體"/>
          <w:b/>
          <w:sz w:val="28"/>
        </w:rPr>
      </w:pPr>
      <w:r w:rsidRPr="00C85FAB">
        <w:rPr>
          <w:rFonts w:ascii="新細明體" w:eastAsia="新細明體" w:hAnsi="新細明體" w:hint="eastAsia"/>
          <w:b/>
          <w:sz w:val="28"/>
        </w:rPr>
        <w:t>國立臺灣大學文學院翻譯碩士學位學程</w:t>
      </w:r>
    </w:p>
    <w:p w:rsidR="00B04505" w:rsidRPr="00C85FAB" w:rsidRDefault="00673647" w:rsidP="00B04505">
      <w:pPr>
        <w:spacing w:line="400" w:lineRule="exact"/>
        <w:jc w:val="center"/>
        <w:rPr>
          <w:rFonts w:ascii="新細明體" w:eastAsia="新細明體" w:hAnsi="新細明體"/>
          <w:b/>
          <w:sz w:val="28"/>
        </w:rPr>
      </w:pPr>
      <w:r w:rsidRPr="00C85FAB">
        <w:rPr>
          <w:rFonts w:ascii="新細明體" w:eastAsia="新細明體" w:hAnsi="新細明體" w:hint="eastAsia"/>
          <w:b/>
          <w:sz w:val="28"/>
        </w:rPr>
        <w:t>口譯</w:t>
      </w:r>
      <w:r w:rsidR="00B04505" w:rsidRPr="00C85FAB">
        <w:rPr>
          <w:rFonts w:ascii="新細明體" w:eastAsia="新細明體" w:hAnsi="新細明體" w:hint="eastAsia"/>
          <w:b/>
          <w:sz w:val="28"/>
        </w:rPr>
        <w:t>觀摩表</w:t>
      </w:r>
    </w:p>
    <w:p w:rsidR="00B04505" w:rsidRPr="00C85FAB" w:rsidRDefault="00B04505" w:rsidP="00B04505">
      <w:pPr>
        <w:autoSpaceDE w:val="0"/>
        <w:autoSpaceDN w:val="0"/>
        <w:adjustRightInd w:val="0"/>
        <w:rPr>
          <w:rFonts w:ascii="新細明體" w:eastAsia="新細明體" w:hAnsi="新細明體" w:cs="Arial"/>
          <w:color w:val="1A1A1A"/>
          <w:sz w:val="26"/>
          <w:szCs w:val="26"/>
        </w:rPr>
      </w:pPr>
      <w:r w:rsidRPr="00C85FAB">
        <w:rPr>
          <w:rFonts w:ascii="新細明體" w:eastAsia="新細明體" w:hAnsi="新細明體" w:cs="Arial" w:hint="eastAsia"/>
          <w:color w:val="1A1A1A"/>
          <w:sz w:val="26"/>
          <w:szCs w:val="26"/>
        </w:rPr>
        <w:t>會議名稱：</w:t>
      </w:r>
    </w:p>
    <w:p w:rsidR="00B04505" w:rsidRPr="00C85FAB" w:rsidRDefault="00B04505" w:rsidP="00B04505">
      <w:pPr>
        <w:autoSpaceDE w:val="0"/>
        <w:autoSpaceDN w:val="0"/>
        <w:adjustRightInd w:val="0"/>
        <w:rPr>
          <w:rFonts w:ascii="新細明體" w:eastAsia="新細明體" w:hAnsi="新細明體" w:cs="Arial"/>
          <w:color w:val="1A1A1A"/>
          <w:sz w:val="26"/>
          <w:szCs w:val="26"/>
        </w:rPr>
      </w:pPr>
      <w:r w:rsidRPr="00C85FAB">
        <w:rPr>
          <w:rFonts w:ascii="新細明體" w:eastAsia="新細明體" w:hAnsi="新細明體" w:cs="Arial" w:hint="eastAsia"/>
          <w:color w:val="1A1A1A"/>
          <w:sz w:val="26"/>
          <w:szCs w:val="26"/>
        </w:rPr>
        <w:t>會議地點與時間：</w:t>
      </w:r>
      <w:bookmarkStart w:id="0" w:name="_GoBack"/>
      <w:bookmarkEnd w:id="0"/>
    </w:p>
    <w:p w:rsidR="00B04505" w:rsidRPr="00C85FAB" w:rsidRDefault="00B04505" w:rsidP="00B04505">
      <w:pPr>
        <w:autoSpaceDE w:val="0"/>
        <w:autoSpaceDN w:val="0"/>
        <w:adjustRightInd w:val="0"/>
        <w:rPr>
          <w:rFonts w:ascii="新細明體" w:eastAsia="新細明體" w:hAnsi="新細明體" w:cs="新細明體"/>
          <w:color w:val="1A1A1A"/>
          <w:sz w:val="26"/>
          <w:szCs w:val="26"/>
        </w:rPr>
      </w:pPr>
      <w:r w:rsidRPr="00C85FAB">
        <w:rPr>
          <w:rFonts w:ascii="新細明體" w:eastAsia="新細明體" w:hAnsi="新細明體" w:cs="Arial" w:hint="eastAsia"/>
          <w:color w:val="1A1A1A"/>
          <w:sz w:val="26"/>
          <w:szCs w:val="26"/>
        </w:rPr>
        <w:t>觀摩人</w:t>
      </w:r>
      <w:r w:rsidRPr="00C85FAB">
        <w:rPr>
          <w:rFonts w:ascii="新細明體" w:eastAsia="新細明體" w:hAnsi="新細明體" w:cs="新細明體" w:hint="eastAsia"/>
          <w:color w:val="1A1A1A"/>
          <w:sz w:val="26"/>
          <w:szCs w:val="26"/>
        </w:rPr>
        <w:t>姓名：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autoSpaceDE w:val="0"/>
              <w:autoSpaceDN w:val="0"/>
              <w:adjustRightInd w:val="0"/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 xml:space="preserve">1. 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請觀察會場佈置，如：口譯箱的位置、講者位置、</w:t>
            </w: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會場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觀眾人數、使用同步口譯服務的觀眾人數等，寫下你的觀察。</w:t>
            </w: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 xml:space="preserve">2. 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請</w:t>
            </w: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從今天會議的講者中挑選三位講者，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逐一觀察</w:t>
            </w:r>
            <w:proofErr w:type="gramStart"/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每位講者</w:t>
            </w:r>
            <w:proofErr w:type="gramEnd"/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的講話方式與</w:t>
            </w:r>
            <w:r w:rsidRPr="00C85FAB">
              <w:rPr>
                <w:rFonts w:ascii="新細明體" w:eastAsia="新細明體" w:hAnsi="新細明體" w:cs="Apple LiGothic Medium" w:hint="eastAsia"/>
                <w:color w:val="1A1A1A"/>
                <w:sz w:val="26"/>
                <w:szCs w:val="26"/>
              </w:rPr>
              <w:t>內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容，思考對口譯員可能造成的挑戰，</w:t>
            </w: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並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以十分量表為</w:t>
            </w:r>
            <w:proofErr w:type="gramStart"/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準</w:t>
            </w:r>
            <w:proofErr w:type="gramEnd"/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，</w:t>
            </w:r>
            <w:r w:rsidRPr="00C85FAB"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  <w:t>1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分為最簡單，</w:t>
            </w: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>10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分為最困難，評估為</w:t>
            </w:r>
            <w:proofErr w:type="gramStart"/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每位講者</w:t>
            </w:r>
            <w:proofErr w:type="gramEnd"/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口譯的難度為何，並寫下原因</w:t>
            </w: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。接著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逐一觀察口譯員為講者口譯時，採取哪些策略解決口譯時所碰到的困難，請盡量記下具體的例子。</w:t>
            </w: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講者</w:t>
            </w:r>
            <w:proofErr w:type="gramStart"/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一</w:t>
            </w:r>
            <w:proofErr w:type="gramEnd"/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難度評分：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原因：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口譯策略：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講者二：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難度評分：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原因：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口譯策略：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講者</w:t>
            </w:r>
            <w:proofErr w:type="gramStart"/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三</w:t>
            </w:r>
            <w:proofErr w:type="gramEnd"/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難度：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原因：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</w:p>
          <w:p w:rsidR="00B04505" w:rsidRPr="00C85FAB" w:rsidRDefault="00B04505" w:rsidP="00274B46">
            <w:pPr>
              <w:rPr>
                <w:rFonts w:ascii="新細明體" w:eastAsia="新細明體" w:hAnsi="新細明體" w:cs="新細明體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新細明體" w:hint="eastAsia"/>
                <w:color w:val="1A1A1A"/>
                <w:sz w:val="26"/>
                <w:szCs w:val="26"/>
              </w:rPr>
              <w:t>口譯策略：</w:t>
            </w:r>
          </w:p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 xml:space="preserve">3. 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請自選一段時間，只聽口譯不聽原文，思考口譯聽眾的感受，寫下你的觀察。</w:t>
            </w: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>(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如果你旁邊剛好有聽口譯的聽眾，也可以請教他們使用口譯的感想</w:t>
            </w: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>)</w:t>
            </w: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  <w:p w:rsidR="00774353" w:rsidRPr="00C85FAB" w:rsidRDefault="00774353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  <w:r w:rsidRPr="00C85FAB"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  <w:t xml:space="preserve">4. </w:t>
            </w:r>
            <w:r w:rsidRPr="00C85FAB">
              <w:rPr>
                <w:rFonts w:ascii="新細明體" w:eastAsia="新細明體" w:hAnsi="新細明體" w:cs="Arial" w:hint="eastAsia"/>
                <w:color w:val="1A1A1A"/>
                <w:sz w:val="26"/>
                <w:szCs w:val="26"/>
              </w:rPr>
              <w:t>請寫下你今天口譯觀摩的心得，包括這次經驗對你的口譯學習有何影響？</w:t>
            </w:r>
          </w:p>
        </w:tc>
      </w:tr>
      <w:tr w:rsidR="00B04505" w:rsidRPr="00C85FAB" w:rsidTr="00774353">
        <w:trPr>
          <w:jc w:val="center"/>
        </w:trPr>
        <w:tc>
          <w:tcPr>
            <w:tcW w:w="9322" w:type="dxa"/>
          </w:tcPr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  <w:p w:rsidR="00B04505" w:rsidRPr="00C85FAB" w:rsidRDefault="00B04505" w:rsidP="00274B46">
            <w:pPr>
              <w:rPr>
                <w:rFonts w:ascii="新細明體" w:eastAsia="新細明體" w:hAnsi="新細明體" w:cs="Arial"/>
                <w:color w:val="1A1A1A"/>
                <w:sz w:val="26"/>
                <w:szCs w:val="26"/>
              </w:rPr>
            </w:pPr>
          </w:p>
        </w:tc>
      </w:tr>
    </w:tbl>
    <w:p w:rsidR="001E0EC6" w:rsidRPr="00C85FAB" w:rsidRDefault="001E0EC6">
      <w:pPr>
        <w:rPr>
          <w:rFonts w:ascii="新細明體" w:eastAsia="新細明體" w:hAnsi="新細明體"/>
          <w:sz w:val="28"/>
          <w:szCs w:val="28"/>
        </w:rPr>
      </w:pPr>
    </w:p>
    <w:sectPr w:rsidR="001E0EC6" w:rsidRPr="00C85FAB" w:rsidSect="001A3E94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01" w:rsidRDefault="00E14B01" w:rsidP="00714BEB">
      <w:r>
        <w:separator/>
      </w:r>
    </w:p>
  </w:endnote>
  <w:endnote w:type="continuationSeparator" w:id="0">
    <w:p w:rsidR="00E14B01" w:rsidRDefault="00E14B01" w:rsidP="007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Gothic Medium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01" w:rsidRDefault="00E14B01" w:rsidP="00714BEB">
      <w:r>
        <w:separator/>
      </w:r>
    </w:p>
  </w:footnote>
  <w:footnote w:type="continuationSeparator" w:id="0">
    <w:p w:rsidR="00E14B01" w:rsidRDefault="00E14B01" w:rsidP="0071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DA1"/>
    <w:multiLevelType w:val="hybridMultilevel"/>
    <w:tmpl w:val="DFD80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D275F4"/>
    <w:multiLevelType w:val="hybridMultilevel"/>
    <w:tmpl w:val="8620F594"/>
    <w:lvl w:ilvl="0" w:tplc="25D6D0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3E"/>
    <w:rsid w:val="0008692B"/>
    <w:rsid w:val="000E4BED"/>
    <w:rsid w:val="000F78B7"/>
    <w:rsid w:val="00102850"/>
    <w:rsid w:val="00107F3E"/>
    <w:rsid w:val="00116AFB"/>
    <w:rsid w:val="00125728"/>
    <w:rsid w:val="0014595E"/>
    <w:rsid w:val="00164334"/>
    <w:rsid w:val="001645B0"/>
    <w:rsid w:val="00165660"/>
    <w:rsid w:val="00186982"/>
    <w:rsid w:val="001A3E94"/>
    <w:rsid w:val="001A7EA7"/>
    <w:rsid w:val="001B427D"/>
    <w:rsid w:val="001E0EC6"/>
    <w:rsid w:val="001E1BFA"/>
    <w:rsid w:val="001E3305"/>
    <w:rsid w:val="001F3511"/>
    <w:rsid w:val="00211502"/>
    <w:rsid w:val="00212D9C"/>
    <w:rsid w:val="00215FE2"/>
    <w:rsid w:val="002646C0"/>
    <w:rsid w:val="002713A2"/>
    <w:rsid w:val="0027290A"/>
    <w:rsid w:val="00273A44"/>
    <w:rsid w:val="0028017F"/>
    <w:rsid w:val="002C0700"/>
    <w:rsid w:val="002D2E37"/>
    <w:rsid w:val="00325884"/>
    <w:rsid w:val="00351974"/>
    <w:rsid w:val="00360B63"/>
    <w:rsid w:val="00362CDA"/>
    <w:rsid w:val="00366B8E"/>
    <w:rsid w:val="003A75C3"/>
    <w:rsid w:val="0041680F"/>
    <w:rsid w:val="00436094"/>
    <w:rsid w:val="00451089"/>
    <w:rsid w:val="004A2329"/>
    <w:rsid w:val="004D00BE"/>
    <w:rsid w:val="00527FE6"/>
    <w:rsid w:val="0053446F"/>
    <w:rsid w:val="005577B0"/>
    <w:rsid w:val="005B4E38"/>
    <w:rsid w:val="005D26CA"/>
    <w:rsid w:val="005E5EDA"/>
    <w:rsid w:val="00632AC7"/>
    <w:rsid w:val="00671124"/>
    <w:rsid w:val="00673647"/>
    <w:rsid w:val="006A1075"/>
    <w:rsid w:val="006C762C"/>
    <w:rsid w:val="00714BEB"/>
    <w:rsid w:val="007528B7"/>
    <w:rsid w:val="00756CDE"/>
    <w:rsid w:val="00766788"/>
    <w:rsid w:val="00774353"/>
    <w:rsid w:val="00793629"/>
    <w:rsid w:val="007E1EC9"/>
    <w:rsid w:val="0088178D"/>
    <w:rsid w:val="00883795"/>
    <w:rsid w:val="0088598C"/>
    <w:rsid w:val="00894A74"/>
    <w:rsid w:val="008B040C"/>
    <w:rsid w:val="008C4B6D"/>
    <w:rsid w:val="00921E4C"/>
    <w:rsid w:val="00923951"/>
    <w:rsid w:val="0093558C"/>
    <w:rsid w:val="0099023D"/>
    <w:rsid w:val="009B4076"/>
    <w:rsid w:val="009C49C7"/>
    <w:rsid w:val="009D7C36"/>
    <w:rsid w:val="00A15A72"/>
    <w:rsid w:val="00A27415"/>
    <w:rsid w:val="00A336EF"/>
    <w:rsid w:val="00A86B71"/>
    <w:rsid w:val="00A9477A"/>
    <w:rsid w:val="00AE314E"/>
    <w:rsid w:val="00AF7717"/>
    <w:rsid w:val="00B04505"/>
    <w:rsid w:val="00B46ED9"/>
    <w:rsid w:val="00B77FE4"/>
    <w:rsid w:val="00BA13DC"/>
    <w:rsid w:val="00BD5018"/>
    <w:rsid w:val="00C0526D"/>
    <w:rsid w:val="00C85FAB"/>
    <w:rsid w:val="00CB74AA"/>
    <w:rsid w:val="00CF566A"/>
    <w:rsid w:val="00D230F1"/>
    <w:rsid w:val="00D23D8D"/>
    <w:rsid w:val="00D9149C"/>
    <w:rsid w:val="00DA3526"/>
    <w:rsid w:val="00DC3D90"/>
    <w:rsid w:val="00DD6805"/>
    <w:rsid w:val="00E14B01"/>
    <w:rsid w:val="00E35A75"/>
    <w:rsid w:val="00E44127"/>
    <w:rsid w:val="00E74A38"/>
    <w:rsid w:val="00E83928"/>
    <w:rsid w:val="00E92C2C"/>
    <w:rsid w:val="00E94EC1"/>
    <w:rsid w:val="00EC113B"/>
    <w:rsid w:val="00EE5C2B"/>
    <w:rsid w:val="00F05A4E"/>
    <w:rsid w:val="00F15FED"/>
    <w:rsid w:val="00F44E49"/>
    <w:rsid w:val="00F7397D"/>
    <w:rsid w:val="00F91AAA"/>
    <w:rsid w:val="00FA3938"/>
    <w:rsid w:val="00FD6311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EB"/>
    <w:rPr>
      <w:sz w:val="20"/>
      <w:szCs w:val="20"/>
    </w:rPr>
  </w:style>
  <w:style w:type="paragraph" w:styleId="a8">
    <w:name w:val="List Paragraph"/>
    <w:basedOn w:val="a"/>
    <w:uiPriority w:val="34"/>
    <w:qFormat/>
    <w:rsid w:val="007E1E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43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EB"/>
    <w:rPr>
      <w:sz w:val="20"/>
      <w:szCs w:val="20"/>
    </w:rPr>
  </w:style>
  <w:style w:type="paragraph" w:styleId="a8">
    <w:name w:val="List Paragraph"/>
    <w:basedOn w:val="a"/>
    <w:uiPriority w:val="34"/>
    <w:qFormat/>
    <w:rsid w:val="007E1E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2015-10-08T15:01:00Z</dcterms:created>
  <dcterms:modified xsi:type="dcterms:W3CDTF">2016-10-31T09:23:00Z</dcterms:modified>
</cp:coreProperties>
</file>